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4C" w:rsidRPr="00EA4690" w:rsidRDefault="00D1194C" w:rsidP="00D1194C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A4690">
        <w:rPr>
          <w:rFonts w:ascii="Times New Roman" w:hAnsi="Times New Roman"/>
          <w:b/>
          <w:bCs/>
          <w:sz w:val="24"/>
          <w:szCs w:val="24"/>
          <w:lang w:val="uk-UA"/>
        </w:rPr>
        <w:t xml:space="preserve">Звіт про відстеження результативності </w:t>
      </w:r>
    </w:p>
    <w:p w:rsidR="00D1194C" w:rsidRPr="00EA4690" w:rsidRDefault="00D1194C" w:rsidP="00D1194C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A4690">
        <w:rPr>
          <w:rFonts w:ascii="Times New Roman" w:hAnsi="Times New Roman"/>
          <w:b/>
          <w:bCs/>
          <w:sz w:val="24"/>
          <w:szCs w:val="24"/>
          <w:lang w:val="uk-UA"/>
        </w:rPr>
        <w:t>регуляторного акту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2470"/>
        <w:gridCol w:w="6759"/>
      </w:tblGrid>
      <w:tr w:rsidR="00D1194C" w:rsidRPr="00EA4690" w:rsidTr="00AA2204">
        <w:tc>
          <w:tcPr>
            <w:tcW w:w="518" w:type="dxa"/>
          </w:tcPr>
          <w:p w:rsidR="00D1194C" w:rsidRPr="00EA4690" w:rsidRDefault="00E80F8F" w:rsidP="006C09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 з/</w:t>
            </w:r>
            <w:r w:rsidR="00D1194C" w:rsidRPr="00EA469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</w:t>
            </w:r>
          </w:p>
        </w:tc>
        <w:tc>
          <w:tcPr>
            <w:tcW w:w="2470" w:type="dxa"/>
          </w:tcPr>
          <w:p w:rsidR="00D1194C" w:rsidRPr="00EA4690" w:rsidRDefault="00D1194C" w:rsidP="006C09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 звіті зазначається</w:t>
            </w:r>
          </w:p>
        </w:tc>
        <w:tc>
          <w:tcPr>
            <w:tcW w:w="6759" w:type="dxa"/>
          </w:tcPr>
          <w:p w:rsidR="00D1194C" w:rsidRPr="00EA4690" w:rsidRDefault="00D1194C" w:rsidP="006C09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Опис</w:t>
            </w:r>
          </w:p>
        </w:tc>
      </w:tr>
      <w:tr w:rsidR="00D1194C" w:rsidRPr="00EA4690" w:rsidTr="00AA2204">
        <w:tc>
          <w:tcPr>
            <w:tcW w:w="518" w:type="dxa"/>
          </w:tcPr>
          <w:p w:rsidR="00D1194C" w:rsidRPr="00EA4690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470" w:type="dxa"/>
          </w:tcPr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6759" w:type="dxa"/>
          </w:tcPr>
          <w:p w:rsidR="00D1194C" w:rsidRPr="00EA4690" w:rsidRDefault="00F92386" w:rsidP="006C093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рішення</w:t>
            </w:r>
            <w:r w:rsidR="00D1194C"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сільської ради „Про встановлення ставок податку на нерухоме майно, відмінне від земельної ділянки ”</w:t>
            </w:r>
          </w:p>
          <w:p w:rsidR="00D1194C" w:rsidRPr="00EA4690" w:rsidRDefault="00D1194C" w:rsidP="00EA469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 </w:t>
            </w:r>
            <w:r w:rsidR="00EA4690" w:rsidRPr="00EA4690">
              <w:rPr>
                <w:rFonts w:ascii="Times New Roman" w:hAnsi="Times New Roman"/>
                <w:sz w:val="24"/>
                <w:szCs w:val="24"/>
                <w:lang w:val="uk-UA"/>
              </w:rPr>
              <w:t>08.12.2011 року № 12/3</w:t>
            </w:r>
          </w:p>
        </w:tc>
      </w:tr>
      <w:tr w:rsidR="00D1194C" w:rsidRPr="00EA4690" w:rsidTr="00AA2204">
        <w:tc>
          <w:tcPr>
            <w:tcW w:w="518" w:type="dxa"/>
          </w:tcPr>
          <w:p w:rsidR="00D1194C" w:rsidRPr="00EA4690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470" w:type="dxa"/>
          </w:tcPr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6759" w:type="dxa"/>
          </w:tcPr>
          <w:p w:rsidR="00D1194C" w:rsidRPr="00EA4690" w:rsidRDefault="00EA4690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Головний бухгалтер сільської ради</w:t>
            </w:r>
          </w:p>
        </w:tc>
      </w:tr>
      <w:tr w:rsidR="00D1194C" w:rsidRPr="00EA4690" w:rsidTr="00AA2204">
        <w:tc>
          <w:tcPr>
            <w:tcW w:w="518" w:type="dxa"/>
          </w:tcPr>
          <w:p w:rsidR="00D1194C" w:rsidRPr="00EA4690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470" w:type="dxa"/>
          </w:tcPr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6759" w:type="dxa"/>
          </w:tcPr>
          <w:p w:rsidR="00D1194C" w:rsidRPr="00EA4690" w:rsidRDefault="00D1194C" w:rsidP="00E80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- дотримання вимог Податкового кодексу в частині встановлення податку на нерухоме майно, відмінне від земельної ділянки, як обов’язкового податку;</w:t>
            </w:r>
          </w:p>
          <w:p w:rsidR="00D1194C" w:rsidRPr="00EA4690" w:rsidRDefault="00D1194C" w:rsidP="00E80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- зміцнення ресурсної бази місцевого бюджету (збільшення надходжень до місцевого бюджету);</w:t>
            </w:r>
          </w:p>
          <w:p w:rsidR="00D1194C" w:rsidRPr="00EA4690" w:rsidRDefault="00D1194C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спрямування отриманих коштів на вирішення соціальних проблем населення та </w:t>
            </w:r>
            <w:r w:rsidR="00EA4690" w:rsidRPr="00EA4690">
              <w:rPr>
                <w:rFonts w:ascii="Times New Roman" w:hAnsi="Times New Roman"/>
                <w:sz w:val="24"/>
                <w:szCs w:val="24"/>
                <w:lang w:val="uk-UA"/>
              </w:rPr>
              <w:t>покращення інфраструктури села</w:t>
            </w:r>
            <w:r w:rsidRPr="00EA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1194C" w:rsidRPr="00EA4690" w:rsidTr="00AA2204">
        <w:tc>
          <w:tcPr>
            <w:tcW w:w="518" w:type="dxa"/>
          </w:tcPr>
          <w:p w:rsidR="00D1194C" w:rsidRPr="00EA4690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470" w:type="dxa"/>
          </w:tcPr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6759" w:type="dxa"/>
          </w:tcPr>
          <w:p w:rsidR="00D1194C" w:rsidRPr="00EA4690" w:rsidRDefault="00D1194C" w:rsidP="00EA46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A4690">
              <w:rPr>
                <w:rFonts w:ascii="Times New Roman" w:hAnsi="Times New Roman"/>
                <w:b/>
                <w:sz w:val="24"/>
                <w:szCs w:val="24"/>
              </w:rPr>
              <w:t xml:space="preserve"> з </w:t>
            </w:r>
            <w:r w:rsidR="00F92386"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</w:t>
            </w:r>
            <w:r w:rsidRPr="00EA46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EA4690"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Pr="00EA4690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EA4690"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Pr="00EA4690">
              <w:rPr>
                <w:rFonts w:ascii="Times New Roman" w:hAnsi="Times New Roman"/>
                <w:b/>
                <w:sz w:val="24"/>
                <w:szCs w:val="24"/>
              </w:rPr>
              <w:t xml:space="preserve"> року по </w:t>
            </w:r>
            <w:r w:rsidR="00F92386"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  <w:r w:rsidRPr="00EA46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EA4690"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Pr="00EA4690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EA4690"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Pr="00EA4690">
              <w:rPr>
                <w:rFonts w:ascii="Times New Roman" w:hAnsi="Times New Roman"/>
                <w:b/>
                <w:sz w:val="24"/>
                <w:szCs w:val="24"/>
              </w:rPr>
              <w:t>року</w:t>
            </w:r>
          </w:p>
        </w:tc>
      </w:tr>
      <w:tr w:rsidR="00D1194C" w:rsidRPr="00EA4690" w:rsidTr="00E80F8F">
        <w:trPr>
          <w:trHeight w:val="898"/>
        </w:trPr>
        <w:tc>
          <w:tcPr>
            <w:tcW w:w="518" w:type="dxa"/>
          </w:tcPr>
          <w:p w:rsidR="00D1194C" w:rsidRPr="00EA4690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470" w:type="dxa"/>
          </w:tcPr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Тип відстеження (базове, повторне або періодичне)</w:t>
            </w:r>
          </w:p>
        </w:tc>
        <w:tc>
          <w:tcPr>
            <w:tcW w:w="6759" w:type="dxa"/>
          </w:tcPr>
          <w:p w:rsidR="00D1194C" w:rsidRPr="00EA4690" w:rsidRDefault="00EA4690" w:rsidP="006C093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повторне</w:t>
            </w:r>
            <w:r w:rsidR="00D1194C" w:rsidRPr="00EA46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відстеження</w:t>
            </w:r>
          </w:p>
        </w:tc>
      </w:tr>
      <w:tr w:rsidR="00D1194C" w:rsidRPr="00EA4690" w:rsidTr="00AA2204">
        <w:tc>
          <w:tcPr>
            <w:tcW w:w="518" w:type="dxa"/>
          </w:tcPr>
          <w:p w:rsidR="00D1194C" w:rsidRPr="00EA4690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470" w:type="dxa"/>
          </w:tcPr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6759" w:type="dxa"/>
          </w:tcPr>
          <w:p w:rsidR="00D1194C" w:rsidRPr="00EA4690" w:rsidRDefault="00D1194C" w:rsidP="00EA4690">
            <w:pPr>
              <w:ind w:firstLine="7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проведення відстеження </w:t>
            </w:r>
            <w:proofErr w:type="spellStart"/>
            <w:r w:rsidR="00EA4690" w:rsidRPr="00EA4690">
              <w:rPr>
                <w:rFonts w:ascii="Times New Roman" w:hAnsi="Times New Roman"/>
                <w:sz w:val="24"/>
                <w:szCs w:val="24"/>
              </w:rPr>
              <w:t>показників</w:t>
            </w:r>
            <w:proofErr w:type="spellEnd"/>
            <w:r w:rsidR="00EA4690" w:rsidRPr="00EA46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4690" w:rsidRPr="00EA4690">
              <w:rPr>
                <w:rFonts w:ascii="Times New Roman" w:hAnsi="Times New Roman"/>
                <w:sz w:val="24"/>
                <w:szCs w:val="24"/>
              </w:rPr>
              <w:t>результативності</w:t>
            </w:r>
            <w:proofErr w:type="spellEnd"/>
            <w:r w:rsidR="00EA4690" w:rsidRPr="00EA46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4690"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будуть </w:t>
            </w:r>
            <w:proofErr w:type="spellStart"/>
            <w:r w:rsidR="00EA4690" w:rsidRPr="00EA4690">
              <w:rPr>
                <w:rFonts w:ascii="Times New Roman" w:hAnsi="Times New Roman"/>
                <w:sz w:val="24"/>
                <w:szCs w:val="24"/>
              </w:rPr>
              <w:t>використову</w:t>
            </w:r>
            <w:r w:rsidR="00EA4690" w:rsidRPr="00EA4690">
              <w:rPr>
                <w:rFonts w:ascii="Times New Roman" w:hAnsi="Times New Roman"/>
                <w:sz w:val="24"/>
                <w:szCs w:val="24"/>
                <w:lang w:val="uk-UA"/>
              </w:rPr>
              <w:t>ватись</w:t>
            </w:r>
            <w:proofErr w:type="spellEnd"/>
            <w:r w:rsidR="00EA4690" w:rsidRPr="00EA46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4690" w:rsidRPr="00EA4690">
              <w:rPr>
                <w:rFonts w:ascii="Times New Roman" w:hAnsi="Times New Roman"/>
                <w:sz w:val="24"/>
                <w:szCs w:val="24"/>
              </w:rPr>
              <w:t>офіційні</w:t>
            </w:r>
            <w:proofErr w:type="spellEnd"/>
            <w:r w:rsidR="00EA4690" w:rsidRPr="00EA46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4690"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аналітичні та </w:t>
            </w:r>
            <w:proofErr w:type="spellStart"/>
            <w:r w:rsidR="00EA4690" w:rsidRPr="00EA4690">
              <w:rPr>
                <w:rFonts w:ascii="Times New Roman" w:hAnsi="Times New Roman"/>
                <w:sz w:val="24"/>
                <w:szCs w:val="24"/>
              </w:rPr>
              <w:t>статистичні</w:t>
            </w:r>
            <w:proofErr w:type="spellEnd"/>
            <w:r w:rsidR="00EA4690" w:rsidRPr="00EA46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4690" w:rsidRPr="00EA4690">
              <w:rPr>
                <w:rFonts w:ascii="Times New Roman" w:hAnsi="Times New Roman"/>
                <w:sz w:val="24"/>
                <w:szCs w:val="24"/>
              </w:rPr>
              <w:t>дані</w:t>
            </w:r>
            <w:proofErr w:type="spellEnd"/>
            <w:r w:rsidR="00EA4690" w:rsidRPr="00EA46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4690" w:rsidRPr="00EA46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ОДПІ.</w:t>
            </w:r>
          </w:p>
        </w:tc>
      </w:tr>
      <w:tr w:rsidR="00D1194C" w:rsidRPr="00EA4690" w:rsidTr="00AA2204">
        <w:tc>
          <w:tcPr>
            <w:tcW w:w="518" w:type="dxa"/>
          </w:tcPr>
          <w:p w:rsidR="00D1194C" w:rsidRPr="00EA4690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470" w:type="dxa"/>
          </w:tcPr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6759" w:type="dxa"/>
          </w:tcPr>
          <w:p w:rsidR="00D1194C" w:rsidRPr="00EA4690" w:rsidRDefault="00D1194C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A4690">
              <w:rPr>
                <w:rFonts w:ascii="Times New Roman" w:hAnsi="Times New Roman"/>
                <w:sz w:val="24"/>
                <w:szCs w:val="24"/>
              </w:rPr>
              <w:t>Основн</w:t>
            </w:r>
            <w:proofErr w:type="spellEnd"/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EA46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4690">
              <w:rPr>
                <w:rFonts w:ascii="Times New Roman" w:hAnsi="Times New Roman"/>
                <w:sz w:val="24"/>
                <w:szCs w:val="24"/>
              </w:rPr>
              <w:t>показни</w:t>
            </w: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A46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4690">
              <w:rPr>
                <w:rFonts w:ascii="Times New Roman" w:hAnsi="Times New Roman"/>
                <w:sz w:val="24"/>
                <w:szCs w:val="24"/>
              </w:rPr>
              <w:t>результативності</w:t>
            </w:r>
            <w:proofErr w:type="spellEnd"/>
            <w:r w:rsidRPr="00EA46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4690">
              <w:rPr>
                <w:rFonts w:ascii="Times New Roman" w:hAnsi="Times New Roman"/>
                <w:sz w:val="24"/>
                <w:szCs w:val="24"/>
              </w:rPr>
              <w:t>дії</w:t>
            </w:r>
            <w:proofErr w:type="spellEnd"/>
            <w:r w:rsidRPr="00EA46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A4690">
              <w:rPr>
                <w:rFonts w:ascii="Times New Roman" w:hAnsi="Times New Roman"/>
                <w:sz w:val="24"/>
                <w:szCs w:val="24"/>
              </w:rPr>
              <w:t>регуляторного</w:t>
            </w:r>
            <w:proofErr w:type="gramEnd"/>
            <w:r w:rsidRPr="00EA4690">
              <w:rPr>
                <w:rFonts w:ascii="Times New Roman" w:hAnsi="Times New Roman"/>
                <w:sz w:val="24"/>
                <w:szCs w:val="24"/>
              </w:rPr>
              <w:t xml:space="preserve"> акту</w:t>
            </w: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D1194C" w:rsidRPr="00EA4690" w:rsidRDefault="00D1194C" w:rsidP="00D1194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A4690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платників податку на нерухоме майно, відмінне від земельної ділянки;</w:t>
            </w:r>
          </w:p>
          <w:p w:rsidR="00D1194C" w:rsidRPr="00EA4690" w:rsidRDefault="00D1194C" w:rsidP="00EA469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сума надходжень до сільського  бюджету від податку на нерухоме</w:t>
            </w:r>
            <w:r w:rsidRPr="00EA46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майно </w:t>
            </w:r>
            <w:r w:rsidR="00EA4690">
              <w:rPr>
                <w:rFonts w:ascii="Times New Roman" w:hAnsi="Times New Roman"/>
                <w:sz w:val="24"/>
                <w:szCs w:val="24"/>
                <w:lang w:val="uk-UA"/>
              </w:rPr>
              <w:t>відмінне від земельної ділянки</w:t>
            </w:r>
          </w:p>
        </w:tc>
      </w:tr>
      <w:tr w:rsidR="00D1194C" w:rsidRPr="00E80F8F" w:rsidTr="00AA2204">
        <w:tc>
          <w:tcPr>
            <w:tcW w:w="518" w:type="dxa"/>
          </w:tcPr>
          <w:p w:rsidR="00D1194C" w:rsidRPr="00EA4690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470" w:type="dxa"/>
          </w:tcPr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59" w:type="dxa"/>
          </w:tcPr>
          <w:p w:rsidR="00D1194C" w:rsidRPr="00EA4690" w:rsidRDefault="00D1194C" w:rsidP="006C093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Податковим кодексом України від 02.12.2010р. № 2755-</w:t>
            </w:r>
            <w:r w:rsidRPr="00EA46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</w:t>
            </w:r>
            <w:r w:rsidRPr="00EA469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визначено, що місцеві ради обов’язково встановлюють податок на нерухоме майно, відмінне від земельної ділянки. </w:t>
            </w:r>
          </w:p>
          <w:p w:rsidR="00D1194C" w:rsidRPr="00EA4690" w:rsidRDefault="00D1194C" w:rsidP="006C093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Платниками податку на нерухоме майно, відмінне від земельної ділянки, є фізичні та юридичні особи, в тому числі нерезиденти, які є власниками об’єктів житлової нерухомості.</w:t>
            </w:r>
          </w:p>
          <w:p w:rsidR="00D1194C" w:rsidRPr="00EA4690" w:rsidRDefault="00EA4690" w:rsidP="00E80F8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Даним </w:t>
            </w:r>
            <w:r w:rsidR="00D1194C" w:rsidRPr="00EA469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рішення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</w:t>
            </w:r>
            <w:r w:rsidR="00D1194C" w:rsidRPr="00EA469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визначено базу оподаткування, ставки та механізм справляння податку на нерухоме майно, відмінне від земельної ділянки. Податок сплачується один раз на рік.</w:t>
            </w:r>
          </w:p>
          <w:p w:rsidR="00D1194C" w:rsidRPr="00EA4690" w:rsidRDefault="00D1194C" w:rsidP="006C093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 xml:space="preserve"> </w:t>
            </w:r>
            <w:r w:rsidR="00E80F8F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Р</w:t>
            </w:r>
            <w:r w:rsidRPr="00EA469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ішення</w:t>
            </w:r>
            <w:r w:rsidR="00EA469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м</w:t>
            </w:r>
            <w:r w:rsidRPr="00EA469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="00EA469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встановлено</w:t>
            </w:r>
            <w:r w:rsidRPr="00EA469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наступні ставки податку за 1 </w:t>
            </w:r>
            <w:proofErr w:type="spellStart"/>
            <w:r w:rsidRPr="00EA469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кв.м</w:t>
            </w:r>
            <w:proofErr w:type="spellEnd"/>
            <w:r w:rsidRPr="00EA469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. житлової нерухомості</w:t>
            </w:r>
          </w:p>
          <w:tbl>
            <w:tblPr>
              <w:tblW w:w="70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67"/>
              <w:gridCol w:w="2340"/>
              <w:gridCol w:w="1983"/>
            </w:tblGrid>
            <w:tr w:rsidR="00D1194C" w:rsidRPr="00EA4690" w:rsidTr="006C093D">
              <w:tc>
                <w:tcPr>
                  <w:tcW w:w="2767" w:type="dxa"/>
                  <w:tcBorders>
                    <w:top w:val="thinThickSmallGap" w:sz="24" w:space="0" w:color="auto"/>
                    <w:left w:val="thinThickSmallGap" w:sz="24" w:space="0" w:color="auto"/>
                    <w:bottom w:val="single" w:sz="4" w:space="0" w:color="auto"/>
                  </w:tcBorders>
                </w:tcPr>
                <w:p w:rsidR="00D1194C" w:rsidRPr="00EA4690" w:rsidRDefault="00D1194C" w:rsidP="006C093D">
                  <w:p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Житлова площа</w:t>
                  </w:r>
                </w:p>
              </w:tc>
              <w:tc>
                <w:tcPr>
                  <w:tcW w:w="2340" w:type="dxa"/>
                  <w:tcBorders>
                    <w:top w:val="thinThickSmallGap" w:sz="24" w:space="0" w:color="auto"/>
                  </w:tcBorders>
                </w:tcPr>
                <w:p w:rsidR="00D1194C" w:rsidRPr="00EA4690" w:rsidRDefault="00D1194C" w:rsidP="006C093D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 xml:space="preserve">для квартир </w:t>
                  </w:r>
                </w:p>
                <w:p w:rsidR="00D1194C" w:rsidRPr="00EA4690" w:rsidRDefault="00D1194C" w:rsidP="006C093D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 xml:space="preserve">до 240 </w:t>
                  </w:r>
                  <w:proofErr w:type="spellStart"/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кв.м</w:t>
                  </w:r>
                  <w:proofErr w:type="spellEnd"/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thinThickSmallGap" w:sz="24" w:space="0" w:color="auto"/>
                    <w:right w:val="thinThickSmallGap" w:sz="24" w:space="0" w:color="auto"/>
                  </w:tcBorders>
                </w:tcPr>
                <w:p w:rsidR="00D1194C" w:rsidRPr="00EA4690" w:rsidRDefault="00D1194C" w:rsidP="006C093D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 xml:space="preserve">для житлових будинків </w:t>
                  </w:r>
                </w:p>
                <w:p w:rsidR="00D1194C" w:rsidRPr="00EA4690" w:rsidRDefault="00D1194C" w:rsidP="006C093D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 xml:space="preserve">до 500 </w:t>
                  </w:r>
                  <w:proofErr w:type="spellStart"/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кв.м</w:t>
                  </w:r>
                  <w:proofErr w:type="spellEnd"/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</w:p>
              </w:tc>
            </w:tr>
            <w:tr w:rsidR="00D1194C" w:rsidRPr="00EA4690" w:rsidTr="006C093D">
              <w:tc>
                <w:tcPr>
                  <w:tcW w:w="2767" w:type="dxa"/>
                  <w:tcBorders>
                    <w:top w:val="single" w:sz="4" w:space="0" w:color="auto"/>
                    <w:left w:val="thinThickSmallGap" w:sz="24" w:space="0" w:color="auto"/>
                    <w:bottom w:val="thinThickSmallGap" w:sz="24" w:space="0" w:color="auto"/>
                  </w:tcBorders>
                </w:tcPr>
                <w:p w:rsidR="00D1194C" w:rsidRPr="00EA4690" w:rsidRDefault="00D1194C" w:rsidP="006C093D">
                  <w:p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Ставка податку</w:t>
                  </w:r>
                </w:p>
              </w:tc>
              <w:tc>
                <w:tcPr>
                  <w:tcW w:w="4323" w:type="dxa"/>
                  <w:gridSpan w:val="2"/>
                  <w:tcBorders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D1194C" w:rsidRPr="00EA4690" w:rsidRDefault="00D1194C" w:rsidP="006C093D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1% розміру мін. ЗП</w:t>
                  </w:r>
                </w:p>
              </w:tc>
            </w:tr>
            <w:tr w:rsidR="00D1194C" w:rsidRPr="00EA4690" w:rsidTr="006C093D">
              <w:tc>
                <w:tcPr>
                  <w:tcW w:w="2767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</w:tcBorders>
                </w:tcPr>
                <w:p w:rsidR="00D1194C" w:rsidRPr="00EA4690" w:rsidRDefault="00D1194C" w:rsidP="006C093D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Житлова нерухомість, яка перебуває у власності фізичної особи  – платника податку*</w:t>
                  </w:r>
                </w:p>
              </w:tc>
              <w:tc>
                <w:tcPr>
                  <w:tcW w:w="2340" w:type="dxa"/>
                  <w:tcBorders>
                    <w:top w:val="thinThickSmallGap" w:sz="24" w:space="0" w:color="auto"/>
                    <w:bottom w:val="thinThickSmallGap" w:sz="24" w:space="0" w:color="auto"/>
                  </w:tcBorders>
                </w:tcPr>
                <w:p w:rsidR="00D1194C" w:rsidRPr="00EA4690" w:rsidRDefault="00D1194C" w:rsidP="006C093D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 xml:space="preserve">ставка податку для квартир </w:t>
                  </w:r>
                </w:p>
                <w:p w:rsidR="00D1194C" w:rsidRPr="00EA4690" w:rsidRDefault="00D1194C" w:rsidP="006C093D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 xml:space="preserve">зменшується на 120 </w:t>
                  </w:r>
                  <w:proofErr w:type="spellStart"/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кв.м</w:t>
                  </w:r>
                  <w:proofErr w:type="spellEnd"/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D1194C" w:rsidRPr="00EA4690" w:rsidRDefault="00D1194C" w:rsidP="006C093D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 xml:space="preserve">ставка податку для житлового будинку </w:t>
                  </w:r>
                </w:p>
                <w:p w:rsidR="00D1194C" w:rsidRPr="00EA4690" w:rsidRDefault="00D1194C" w:rsidP="006C093D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 xml:space="preserve">зменшується на 250  </w:t>
                  </w:r>
                  <w:proofErr w:type="spellStart"/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кв.м</w:t>
                  </w:r>
                  <w:proofErr w:type="spellEnd"/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</w:p>
              </w:tc>
            </w:tr>
            <w:tr w:rsidR="00D1194C" w:rsidRPr="00EA4690" w:rsidTr="006C093D">
              <w:tc>
                <w:tcPr>
                  <w:tcW w:w="2767" w:type="dxa"/>
                  <w:tcBorders>
                    <w:top w:val="thinThickSmallGap" w:sz="24" w:space="0" w:color="auto"/>
                    <w:left w:val="thinThickSmallGap" w:sz="24" w:space="0" w:color="auto"/>
                  </w:tcBorders>
                </w:tcPr>
                <w:p w:rsidR="00D1194C" w:rsidRPr="00EA4690" w:rsidRDefault="00D1194C" w:rsidP="006C093D">
                  <w:p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Житлова площа</w:t>
                  </w:r>
                </w:p>
              </w:tc>
              <w:tc>
                <w:tcPr>
                  <w:tcW w:w="2340" w:type="dxa"/>
                  <w:tcBorders>
                    <w:top w:val="thinThickSmallGap" w:sz="24" w:space="0" w:color="auto"/>
                  </w:tcBorders>
                </w:tcPr>
                <w:p w:rsidR="00D1194C" w:rsidRPr="00EA4690" w:rsidRDefault="00D1194C" w:rsidP="006C093D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 xml:space="preserve">для квартир </w:t>
                  </w:r>
                </w:p>
                <w:p w:rsidR="00D1194C" w:rsidRPr="00EA4690" w:rsidRDefault="00D1194C" w:rsidP="006C093D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>&gt;</w:t>
                  </w: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 xml:space="preserve"> 240 </w:t>
                  </w:r>
                  <w:proofErr w:type="spellStart"/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кв.м</w:t>
                  </w:r>
                  <w:proofErr w:type="spellEnd"/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thinThickSmallGap" w:sz="24" w:space="0" w:color="auto"/>
                    <w:right w:val="thinThickSmallGap" w:sz="24" w:space="0" w:color="auto"/>
                  </w:tcBorders>
                </w:tcPr>
                <w:p w:rsidR="00D1194C" w:rsidRPr="00EA4690" w:rsidRDefault="00D1194C" w:rsidP="006C093D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 xml:space="preserve">для житлових будинків </w:t>
                  </w:r>
                </w:p>
                <w:p w:rsidR="00D1194C" w:rsidRPr="00EA4690" w:rsidRDefault="00D1194C" w:rsidP="006C093D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&gt;</w:t>
                  </w:r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 xml:space="preserve"> 500 </w:t>
                  </w:r>
                  <w:proofErr w:type="spellStart"/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кв.м</w:t>
                  </w:r>
                  <w:proofErr w:type="spellEnd"/>
                  <w:r w:rsidRPr="00EA4690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</w:p>
              </w:tc>
            </w:tr>
            <w:tr w:rsidR="00D1194C" w:rsidRPr="00EA4690" w:rsidTr="006C093D">
              <w:tc>
                <w:tcPr>
                  <w:tcW w:w="2767" w:type="dxa"/>
                  <w:tcBorders>
                    <w:left w:val="thinThickSmallGap" w:sz="24" w:space="0" w:color="auto"/>
                    <w:bottom w:val="thinThickSmallGap" w:sz="24" w:space="0" w:color="auto"/>
                  </w:tcBorders>
                </w:tcPr>
                <w:p w:rsidR="00D1194C" w:rsidRPr="00EA4690" w:rsidRDefault="00D1194C" w:rsidP="006C093D">
                  <w:p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Ставка податку </w:t>
                  </w:r>
                </w:p>
                <w:p w:rsidR="00D1194C" w:rsidRPr="00EA4690" w:rsidRDefault="00D1194C" w:rsidP="006C093D">
                  <w:p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23" w:type="dxa"/>
                  <w:gridSpan w:val="2"/>
                  <w:tcBorders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D1194C" w:rsidRPr="00EA4690" w:rsidRDefault="00D1194C" w:rsidP="006C093D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EA469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2,7 % розміру мін. ЗП</w:t>
                  </w:r>
                </w:p>
              </w:tc>
            </w:tr>
          </w:tbl>
          <w:p w:rsidR="00D1194C" w:rsidRDefault="00D1194C" w:rsidP="006C093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* пільга із сплати податку на нерухоме майно, відмінне від земельної ділянки, застосовується</w:t>
            </w: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об’єкт житлової нерухомості, що перебуває у власності фізичної особи - платника податку</w:t>
            </w:r>
            <w:r w:rsidRPr="00EA469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 Юридичним особам пільга не передбачена.</w:t>
            </w:r>
          </w:p>
          <w:p w:rsidR="00EA4690" w:rsidRPr="00EA4690" w:rsidRDefault="00EA4690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 період 2012-2013 років надходжень до сільського бюджету податку на нерухоме майно, відмінне від земельної ділянки не надходило, оскільки всі</w:t>
            </w:r>
            <w:r w:rsidR="00703FA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 особам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які мають нерухоме майно,</w:t>
            </w:r>
            <w:r w:rsidR="00703FA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відмінне від земельної ділянки, надані пільги відповідно до чинного законодавства України.</w:t>
            </w:r>
          </w:p>
        </w:tc>
      </w:tr>
      <w:tr w:rsidR="00D1194C" w:rsidRPr="00EA4690" w:rsidTr="00E80F8F">
        <w:trPr>
          <w:trHeight w:val="2759"/>
        </w:trPr>
        <w:tc>
          <w:tcPr>
            <w:tcW w:w="518" w:type="dxa"/>
          </w:tcPr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2470" w:type="dxa"/>
          </w:tcPr>
          <w:p w:rsidR="00D1194C" w:rsidRPr="00EA4690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6759" w:type="dxa"/>
          </w:tcPr>
          <w:p w:rsidR="00D1194C" w:rsidRPr="00EA4690" w:rsidRDefault="00D1194C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Прийняття регуляторного акту с</w:t>
            </w:r>
            <w:r w:rsidR="00703FA6">
              <w:rPr>
                <w:rFonts w:ascii="Times New Roman" w:hAnsi="Times New Roman"/>
                <w:sz w:val="24"/>
                <w:szCs w:val="24"/>
                <w:lang w:val="uk-UA"/>
              </w:rPr>
              <w:t>прияє</w:t>
            </w: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дотриманню вимог Податкового кодексу України в частині встановлення податку на нерухоме майно, відмінне від земельної ді</w:t>
            </w:r>
            <w:r w:rsidR="00703FA6">
              <w:rPr>
                <w:rFonts w:ascii="Times New Roman" w:hAnsi="Times New Roman"/>
                <w:sz w:val="24"/>
                <w:szCs w:val="24"/>
                <w:lang w:val="uk-UA"/>
              </w:rPr>
              <w:t>лянки, як обов’язкового податку та</w:t>
            </w: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зміцненню ресурсної бази місцевого бюджету.</w:t>
            </w:r>
          </w:p>
          <w:p w:rsidR="00D1194C" w:rsidRPr="00EA4690" w:rsidRDefault="00D1194C" w:rsidP="00703FA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EA4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Періодичні відстеження результативності будуть здійснюватись раз на кожні три роки, починаючи від дня закінчення заходів з повторного відстеження результативності.</w:t>
            </w:r>
          </w:p>
        </w:tc>
      </w:tr>
    </w:tbl>
    <w:p w:rsidR="00E80F8F" w:rsidRDefault="00E80F8F" w:rsidP="00D1194C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1194C" w:rsidRPr="00EA4690" w:rsidRDefault="00D1194C" w:rsidP="00D1194C">
      <w:pPr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GoBack"/>
      <w:bookmarkEnd w:id="0"/>
      <w:r w:rsidRPr="00EA4690">
        <w:rPr>
          <w:rFonts w:ascii="Times New Roman" w:hAnsi="Times New Roman"/>
          <w:b/>
          <w:bCs/>
          <w:sz w:val="24"/>
          <w:szCs w:val="24"/>
          <w:lang w:val="uk-UA"/>
        </w:rPr>
        <w:t xml:space="preserve">Головний бухгалтер сільської ради                   </w:t>
      </w:r>
      <w:r w:rsidRPr="00EA4690"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                     О.В. </w:t>
      </w:r>
      <w:proofErr w:type="spellStart"/>
      <w:r w:rsidRPr="00EA4690">
        <w:rPr>
          <w:rFonts w:ascii="Times New Roman" w:hAnsi="Times New Roman"/>
          <w:b/>
          <w:bCs/>
          <w:sz w:val="24"/>
          <w:szCs w:val="24"/>
          <w:lang w:val="uk-UA"/>
        </w:rPr>
        <w:t>Пікута</w:t>
      </w:r>
      <w:proofErr w:type="spellEnd"/>
    </w:p>
    <w:p w:rsidR="00D9154C" w:rsidRPr="00EA4690" w:rsidRDefault="00D9154C">
      <w:pPr>
        <w:rPr>
          <w:rFonts w:ascii="Times New Roman" w:hAnsi="Times New Roman"/>
          <w:sz w:val="24"/>
          <w:szCs w:val="24"/>
          <w:lang w:val="uk-UA"/>
        </w:rPr>
      </w:pPr>
    </w:p>
    <w:sectPr w:rsidR="00D9154C" w:rsidRPr="00EA4690" w:rsidSect="00E80F8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472FD"/>
    <w:multiLevelType w:val="hybridMultilevel"/>
    <w:tmpl w:val="99DCF6F2"/>
    <w:lvl w:ilvl="0" w:tplc="DFE87EF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4C"/>
    <w:rsid w:val="002D51D4"/>
    <w:rsid w:val="00703FA6"/>
    <w:rsid w:val="00AA2204"/>
    <w:rsid w:val="00D1194C"/>
    <w:rsid w:val="00D9154C"/>
    <w:rsid w:val="00E80F8F"/>
    <w:rsid w:val="00EA4690"/>
    <w:rsid w:val="00F9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1194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1194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1194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1194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4</cp:revision>
  <dcterms:created xsi:type="dcterms:W3CDTF">2013-12-19T07:17:00Z</dcterms:created>
  <dcterms:modified xsi:type="dcterms:W3CDTF">2013-12-19T08:21:00Z</dcterms:modified>
</cp:coreProperties>
</file>